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A6" w:rsidRDefault="00001EA6">
      <w:pPr>
        <w:rPr>
          <w:b/>
          <w:i/>
          <w:sz w:val="28"/>
        </w:rPr>
      </w:pPr>
      <w:r w:rsidRPr="00BB26C1">
        <w:rPr>
          <w:b/>
          <w:i/>
          <w:sz w:val="28"/>
        </w:rPr>
        <w:t>Zagadnienie do realizacji 27.04 – 26.05</w:t>
      </w:r>
    </w:p>
    <w:p w:rsidR="00001EA6" w:rsidRDefault="00001EA6">
      <w:r>
        <w:rPr>
          <w:b/>
          <w:i/>
          <w:sz w:val="28"/>
        </w:rPr>
        <w:t>Chemia klasaVII</w:t>
      </w:r>
    </w:p>
    <w:tbl>
      <w:tblPr>
        <w:tblW w:w="956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6804"/>
      </w:tblGrid>
      <w:tr w:rsidR="00001EA6" w:rsidRPr="00D55B3B" w:rsidTr="00001EA6">
        <w:trPr>
          <w:trHeight w:val="982"/>
        </w:trPr>
        <w:tc>
          <w:tcPr>
            <w:tcW w:w="276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01EA6" w:rsidRPr="0015541F" w:rsidRDefault="00001EA6" w:rsidP="002A7719">
            <w:r>
              <w:t>Tlenki metali i </w:t>
            </w:r>
            <w:r w:rsidRPr="0015541F">
              <w:t>niemetali</w:t>
            </w:r>
          </w:p>
        </w:tc>
        <w:tc>
          <w:tcPr>
            <w:tcW w:w="680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01EA6" w:rsidRPr="00D55B3B" w:rsidRDefault="00001EA6" w:rsidP="00001EA6">
            <w:pPr>
              <w:numPr>
                <w:ilvl w:val="0"/>
                <w:numId w:val="7"/>
              </w:numPr>
              <w:spacing w:after="0"/>
              <w:ind w:left="355"/>
            </w:pPr>
            <w:r w:rsidRPr="00D55B3B">
              <w:t>wyjaśnia budowę tlenków, podaje ich wzory i nazwy</w:t>
            </w:r>
          </w:p>
          <w:p w:rsidR="00001EA6" w:rsidRPr="00D55B3B" w:rsidRDefault="00001EA6" w:rsidP="00001EA6">
            <w:pPr>
              <w:numPr>
                <w:ilvl w:val="0"/>
                <w:numId w:val="7"/>
              </w:numPr>
              <w:spacing w:after="0"/>
              <w:ind w:left="355"/>
            </w:pPr>
            <w:r w:rsidRPr="00D55B3B">
              <w:t>podaje sposoby otrzymywania tlenków</w:t>
            </w:r>
          </w:p>
          <w:p w:rsidR="00001EA6" w:rsidRPr="00D55B3B" w:rsidRDefault="00001EA6" w:rsidP="00001EA6">
            <w:pPr>
              <w:numPr>
                <w:ilvl w:val="0"/>
                <w:numId w:val="7"/>
              </w:numPr>
              <w:spacing w:after="0"/>
              <w:ind w:left="355"/>
            </w:pPr>
            <w:r w:rsidRPr="00D55B3B">
              <w:t>opisuje właściwości fizyczne i zastosowania wybranych tlenków</w:t>
            </w:r>
          </w:p>
          <w:p w:rsidR="00001EA6" w:rsidRPr="00D55B3B" w:rsidRDefault="00001EA6" w:rsidP="00001EA6">
            <w:pPr>
              <w:numPr>
                <w:ilvl w:val="0"/>
                <w:numId w:val="7"/>
              </w:numPr>
              <w:spacing w:after="0"/>
              <w:ind w:left="355"/>
            </w:pPr>
            <w:r w:rsidRPr="00D55B3B">
              <w:t xml:space="preserve">wyjaśnia pojęcie </w:t>
            </w:r>
            <w:r w:rsidRPr="001974D6">
              <w:rPr>
                <w:i/>
              </w:rPr>
              <w:t>katalizator</w:t>
            </w:r>
          </w:p>
        </w:tc>
      </w:tr>
      <w:tr w:rsidR="00001EA6" w:rsidRPr="00D55B3B" w:rsidTr="00001EA6">
        <w:trPr>
          <w:trHeight w:val="982"/>
        </w:trPr>
        <w:tc>
          <w:tcPr>
            <w:tcW w:w="276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01EA6" w:rsidRPr="0015541F" w:rsidRDefault="00001EA6" w:rsidP="002A7719">
            <w:r>
              <w:t>Elektrolity i nieelektrolity</w:t>
            </w:r>
          </w:p>
        </w:tc>
        <w:tc>
          <w:tcPr>
            <w:tcW w:w="680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01EA6" w:rsidRPr="001974D6" w:rsidRDefault="00001EA6" w:rsidP="00001EA6">
            <w:pPr>
              <w:numPr>
                <w:ilvl w:val="0"/>
                <w:numId w:val="6"/>
              </w:numPr>
              <w:spacing w:after="0"/>
              <w:ind w:left="355"/>
              <w:rPr>
                <w:i/>
              </w:rPr>
            </w:pPr>
            <w:r w:rsidRPr="00D55B3B">
              <w:t>definiuje pojęcia</w:t>
            </w:r>
            <w:r>
              <w:t>:</w:t>
            </w:r>
            <w:r>
              <w:t xml:space="preserve"> </w:t>
            </w:r>
            <w:r w:rsidRPr="001974D6">
              <w:rPr>
                <w:i/>
              </w:rPr>
              <w:t>elektrolity</w:t>
            </w:r>
            <w:r w:rsidRPr="00C241A5">
              <w:t xml:space="preserve">, </w:t>
            </w:r>
            <w:r w:rsidRPr="001974D6">
              <w:rPr>
                <w:i/>
              </w:rPr>
              <w:t>nieelektrolity</w:t>
            </w:r>
            <w:r w:rsidRPr="00C241A5">
              <w:t xml:space="preserve">, </w:t>
            </w:r>
            <w:r w:rsidRPr="001974D6">
              <w:rPr>
                <w:i/>
              </w:rPr>
              <w:t>wskaźniki</w:t>
            </w:r>
          </w:p>
          <w:p w:rsidR="00001EA6" w:rsidRPr="00D55B3B" w:rsidRDefault="00001EA6" w:rsidP="00001EA6">
            <w:pPr>
              <w:numPr>
                <w:ilvl w:val="0"/>
                <w:numId w:val="6"/>
              </w:numPr>
              <w:spacing w:after="0"/>
              <w:ind w:left="355"/>
            </w:pPr>
            <w:r>
              <w:t>bada przewodnictwo elektryczne różnych substancji rozpuszczonych w wodzie</w:t>
            </w:r>
          </w:p>
          <w:p w:rsidR="00001EA6" w:rsidRPr="00D55B3B" w:rsidRDefault="00001EA6" w:rsidP="00001EA6">
            <w:pPr>
              <w:numPr>
                <w:ilvl w:val="0"/>
                <w:numId w:val="6"/>
              </w:numPr>
              <w:spacing w:after="0"/>
              <w:ind w:left="355"/>
            </w:pPr>
            <w:r w:rsidRPr="00D55B3B">
              <w:t>wymienia wskaźniki (fenoloftaleina, oranż metylowy, uniwersalny papierek wskaźnikowy)</w:t>
            </w:r>
          </w:p>
          <w:p w:rsidR="00001EA6" w:rsidRPr="00D55B3B" w:rsidRDefault="00001EA6" w:rsidP="00001EA6">
            <w:pPr>
              <w:numPr>
                <w:ilvl w:val="0"/>
                <w:numId w:val="6"/>
              </w:numPr>
              <w:spacing w:after="0"/>
              <w:ind w:left="355"/>
            </w:pPr>
            <w:r w:rsidRPr="00D55B3B">
              <w:t>bada wpływ różnych substancji na zmianę barwy wskaźników</w:t>
            </w:r>
          </w:p>
          <w:p w:rsidR="00001EA6" w:rsidRPr="00D55B3B" w:rsidRDefault="00001EA6" w:rsidP="00001EA6">
            <w:pPr>
              <w:numPr>
                <w:ilvl w:val="0"/>
                <w:numId w:val="6"/>
              </w:numPr>
              <w:spacing w:after="0"/>
              <w:ind w:left="355"/>
            </w:pPr>
            <w:r w:rsidRPr="00D55B3B">
              <w:t>wymienia rodzaje odczynu roztworu (kwasowy, zasadowy, obojętny)</w:t>
            </w:r>
          </w:p>
          <w:p w:rsidR="00001EA6" w:rsidRPr="00D55B3B" w:rsidRDefault="00001EA6" w:rsidP="00001EA6">
            <w:pPr>
              <w:numPr>
                <w:ilvl w:val="0"/>
                <w:numId w:val="5"/>
              </w:numPr>
              <w:spacing w:after="0"/>
              <w:ind w:left="355"/>
              <w:rPr>
                <w:color w:val="000000"/>
              </w:rPr>
            </w:pPr>
            <w:r w:rsidRPr="00D55B3B">
              <w:rPr>
                <w:color w:val="000000"/>
              </w:rPr>
              <w:t>opisuje zastosowanie wskaźników</w:t>
            </w:r>
          </w:p>
          <w:p w:rsidR="00001EA6" w:rsidRPr="00D55B3B" w:rsidRDefault="00001EA6" w:rsidP="00001EA6">
            <w:pPr>
              <w:numPr>
                <w:ilvl w:val="0"/>
                <w:numId w:val="5"/>
              </w:numPr>
              <w:spacing w:after="0"/>
              <w:ind w:left="356"/>
            </w:pPr>
            <w:r w:rsidRPr="00D55B3B">
              <w:t xml:space="preserve">rozróżnia doświadczalnie odczyn kwasowy i odczyn zasadowy substancji za pomocą wskaźników </w:t>
            </w:r>
          </w:p>
        </w:tc>
      </w:tr>
      <w:tr w:rsidR="00001EA6" w:rsidRPr="00D55B3B" w:rsidTr="00001EA6">
        <w:trPr>
          <w:trHeight w:val="982"/>
        </w:trPr>
        <w:tc>
          <w:tcPr>
            <w:tcW w:w="276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01EA6" w:rsidRPr="0015541F" w:rsidRDefault="00001EA6" w:rsidP="002A7719">
            <w:r w:rsidRPr="0015541F">
              <w:t>Wzory i nazwy wodorotlenków</w:t>
            </w:r>
          </w:p>
        </w:tc>
        <w:tc>
          <w:tcPr>
            <w:tcW w:w="680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01EA6" w:rsidRPr="00D55B3B" w:rsidRDefault="00001EA6" w:rsidP="00001EA6">
            <w:pPr>
              <w:numPr>
                <w:ilvl w:val="0"/>
                <w:numId w:val="7"/>
              </w:numPr>
              <w:spacing w:after="0"/>
              <w:ind w:left="355"/>
            </w:pPr>
            <w:r w:rsidRPr="00D55B3B">
              <w:t>opisuje budowę wodorotlenków</w:t>
            </w:r>
          </w:p>
          <w:p w:rsidR="00001EA6" w:rsidRPr="00D55B3B" w:rsidRDefault="00001EA6" w:rsidP="00001EA6">
            <w:pPr>
              <w:numPr>
                <w:ilvl w:val="0"/>
                <w:numId w:val="7"/>
              </w:numPr>
              <w:spacing w:after="0"/>
              <w:ind w:left="355"/>
            </w:pPr>
            <w:r w:rsidRPr="00D55B3B">
              <w:t>podaje wzory i nazwy wodorotlenków</w:t>
            </w:r>
          </w:p>
        </w:tc>
      </w:tr>
      <w:tr w:rsidR="00001EA6" w:rsidRPr="00806DAE" w:rsidTr="00001EA6">
        <w:trPr>
          <w:trHeight w:val="982"/>
        </w:trPr>
        <w:tc>
          <w:tcPr>
            <w:tcW w:w="276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01EA6" w:rsidRPr="0015541F" w:rsidRDefault="00001EA6" w:rsidP="002A7719">
            <w:r>
              <w:t xml:space="preserve">Wodorotlenek sodu, </w:t>
            </w:r>
            <w:r w:rsidRPr="0015541F">
              <w:t>wodorotlenek potasu</w:t>
            </w:r>
          </w:p>
        </w:tc>
        <w:tc>
          <w:tcPr>
            <w:tcW w:w="680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01EA6" w:rsidRPr="00806DAE" w:rsidRDefault="00001EA6" w:rsidP="00001EA6">
            <w:pPr>
              <w:numPr>
                <w:ilvl w:val="0"/>
                <w:numId w:val="1"/>
              </w:numPr>
              <w:spacing w:after="0"/>
              <w:ind w:left="355"/>
            </w:pPr>
            <w:r w:rsidRPr="00806DAE">
              <w:t>zapisuje wzory sumaryczne wodorotlenków sodu i potasu</w:t>
            </w:r>
          </w:p>
          <w:p w:rsidR="00001EA6" w:rsidRPr="00806DAE" w:rsidRDefault="00001EA6" w:rsidP="00001EA6">
            <w:pPr>
              <w:numPr>
                <w:ilvl w:val="0"/>
                <w:numId w:val="1"/>
              </w:numPr>
              <w:spacing w:after="0"/>
              <w:ind w:left="355"/>
            </w:pPr>
            <w:r w:rsidRPr="00806DAE">
              <w:t>projektuje doświadczenia, w których wyniku można otrzymać wodorotlenek sodu i wodorotlenek potasu</w:t>
            </w:r>
          </w:p>
          <w:p w:rsidR="00001EA6" w:rsidRPr="00806DAE" w:rsidRDefault="00001EA6" w:rsidP="00001EA6">
            <w:pPr>
              <w:numPr>
                <w:ilvl w:val="0"/>
                <w:numId w:val="1"/>
              </w:numPr>
              <w:spacing w:after="0"/>
              <w:ind w:left="355"/>
            </w:pPr>
            <w:r w:rsidRPr="00806DAE">
              <w:t>otrzymuje wodorotlenek sodu i bada jego właściwości</w:t>
            </w:r>
          </w:p>
          <w:p w:rsidR="00001EA6" w:rsidRPr="00806DAE" w:rsidRDefault="00001EA6" w:rsidP="00001EA6">
            <w:pPr>
              <w:numPr>
                <w:ilvl w:val="0"/>
                <w:numId w:val="1"/>
              </w:numPr>
              <w:spacing w:after="0"/>
              <w:ind w:left="355"/>
            </w:pPr>
            <w:r w:rsidRPr="00806DAE">
              <w:t>zapisuje równania reakcji otrzymywania wodorotlenków sodu i potasu</w:t>
            </w:r>
          </w:p>
          <w:p w:rsidR="00001EA6" w:rsidRPr="00806DAE" w:rsidRDefault="00001EA6" w:rsidP="00001EA6">
            <w:pPr>
              <w:numPr>
                <w:ilvl w:val="0"/>
                <w:numId w:val="1"/>
              </w:numPr>
              <w:spacing w:after="0"/>
              <w:ind w:left="355"/>
            </w:pPr>
            <w:r w:rsidRPr="00806DAE">
              <w:t xml:space="preserve">wyjaśnia pojęcie </w:t>
            </w:r>
            <w:r w:rsidRPr="00806DAE">
              <w:rPr>
                <w:i/>
              </w:rPr>
              <w:t>tlenek zasadowy</w:t>
            </w:r>
          </w:p>
          <w:p w:rsidR="00001EA6" w:rsidRPr="00806DAE" w:rsidRDefault="00001EA6" w:rsidP="00001EA6">
            <w:pPr>
              <w:numPr>
                <w:ilvl w:val="0"/>
                <w:numId w:val="1"/>
              </w:numPr>
              <w:spacing w:after="0"/>
              <w:ind w:left="355"/>
            </w:pPr>
            <w:r w:rsidRPr="00806DAE">
              <w:t>opisuje właściwości i zastosowania wodorotlenków sodu i potasu</w:t>
            </w:r>
          </w:p>
        </w:tc>
      </w:tr>
      <w:tr w:rsidR="00001EA6" w:rsidRPr="00806DAE" w:rsidTr="00001EA6">
        <w:trPr>
          <w:trHeight w:val="982"/>
        </w:trPr>
        <w:tc>
          <w:tcPr>
            <w:tcW w:w="276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01EA6" w:rsidRPr="0015541F" w:rsidRDefault="00001EA6" w:rsidP="002A7719">
            <w:r w:rsidRPr="0015541F">
              <w:t>Wodorotlenek wapnia</w:t>
            </w:r>
          </w:p>
        </w:tc>
        <w:tc>
          <w:tcPr>
            <w:tcW w:w="680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01EA6" w:rsidRPr="00806DAE" w:rsidRDefault="00001EA6" w:rsidP="00001EA6">
            <w:pPr>
              <w:numPr>
                <w:ilvl w:val="0"/>
                <w:numId w:val="2"/>
              </w:numPr>
              <w:spacing w:after="0"/>
              <w:ind w:left="355"/>
            </w:pPr>
            <w:r w:rsidRPr="00806DAE">
              <w:t>zapisuje wzór sumaryczny wodorotlenku wapnia</w:t>
            </w:r>
          </w:p>
          <w:p w:rsidR="00001EA6" w:rsidRPr="00806DAE" w:rsidRDefault="00001EA6" w:rsidP="00001EA6">
            <w:pPr>
              <w:numPr>
                <w:ilvl w:val="0"/>
                <w:numId w:val="2"/>
              </w:numPr>
              <w:spacing w:after="0"/>
              <w:ind w:left="355"/>
            </w:pPr>
            <w:r w:rsidRPr="00806DAE">
              <w:t>projektuje i wykonuje doświadczenia, w których wyniku można otrzymać wodorotlenek wapnia</w:t>
            </w:r>
          </w:p>
          <w:p w:rsidR="00001EA6" w:rsidRPr="00806DAE" w:rsidRDefault="00001EA6" w:rsidP="00001EA6">
            <w:pPr>
              <w:numPr>
                <w:ilvl w:val="0"/>
                <w:numId w:val="2"/>
              </w:numPr>
              <w:spacing w:after="0"/>
              <w:ind w:left="355"/>
            </w:pPr>
            <w:r w:rsidRPr="00806DAE">
              <w:t>zapisuje równania reakcji otrzymywania wodorotlenku wapnia</w:t>
            </w:r>
          </w:p>
          <w:p w:rsidR="00001EA6" w:rsidRPr="00806DAE" w:rsidRDefault="00001EA6" w:rsidP="00001EA6">
            <w:pPr>
              <w:numPr>
                <w:ilvl w:val="0"/>
                <w:numId w:val="2"/>
              </w:numPr>
              <w:spacing w:after="0"/>
              <w:ind w:left="355"/>
            </w:pPr>
            <w:r w:rsidRPr="00806DAE">
              <w:t>opisuje właściwości wodorotlenku wapnia i jego zastosowania</w:t>
            </w:r>
          </w:p>
        </w:tc>
      </w:tr>
      <w:tr w:rsidR="00001EA6" w:rsidRPr="00D55B3B" w:rsidTr="00001EA6">
        <w:trPr>
          <w:trHeight w:val="982"/>
        </w:trPr>
        <w:tc>
          <w:tcPr>
            <w:tcW w:w="276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01EA6" w:rsidRPr="0015541F" w:rsidRDefault="00001EA6" w:rsidP="002A7719">
            <w:r w:rsidRPr="0015541F">
              <w:t>Sposoby otrzymywania wodorotlenków</w:t>
            </w:r>
            <w:r>
              <w:t xml:space="preserve"> </w:t>
            </w:r>
            <w:r>
              <w:t>praktycznie nie</w:t>
            </w:r>
            <w:bookmarkStart w:id="0" w:name="_GoBack"/>
            <w:bookmarkEnd w:id="0"/>
            <w:r>
              <w:t xml:space="preserve">rozpuszczalnych </w:t>
            </w:r>
            <w:r w:rsidRPr="0015541F">
              <w:t>w</w:t>
            </w:r>
            <w:r>
              <w:t> </w:t>
            </w:r>
            <w:r w:rsidRPr="0015541F">
              <w:t>wodzie</w:t>
            </w:r>
          </w:p>
        </w:tc>
        <w:tc>
          <w:tcPr>
            <w:tcW w:w="680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01EA6" w:rsidRPr="00D55B3B" w:rsidRDefault="00001EA6" w:rsidP="00001EA6">
            <w:pPr>
              <w:numPr>
                <w:ilvl w:val="0"/>
                <w:numId w:val="3"/>
              </w:numPr>
              <w:spacing w:after="0"/>
              <w:ind w:left="355" w:hanging="283"/>
            </w:pPr>
            <w:r w:rsidRPr="00D55B3B">
              <w:t>wyjaśnia różnicę między</w:t>
            </w:r>
            <w:r>
              <w:t xml:space="preserve"> </w:t>
            </w:r>
            <w:r w:rsidRPr="00D55B3B">
              <w:t>wodorotlenkiem</w:t>
            </w:r>
            <w:r>
              <w:t xml:space="preserve"> a</w:t>
            </w:r>
            <w:r>
              <w:t xml:space="preserve"> </w:t>
            </w:r>
            <w:r w:rsidRPr="00D55B3B">
              <w:t>zasadą</w:t>
            </w:r>
          </w:p>
          <w:p w:rsidR="00001EA6" w:rsidRPr="00D55B3B" w:rsidRDefault="00001EA6" w:rsidP="00001EA6">
            <w:pPr>
              <w:numPr>
                <w:ilvl w:val="0"/>
                <w:numId w:val="3"/>
              </w:numPr>
              <w:spacing w:after="0"/>
              <w:ind w:left="355" w:hanging="283"/>
            </w:pPr>
            <w:r w:rsidRPr="00D55B3B">
              <w:t>podaje wzór i opisuje właściwości zasady amonowej</w:t>
            </w:r>
          </w:p>
          <w:p w:rsidR="00001EA6" w:rsidRPr="00D55B3B" w:rsidRDefault="00001EA6" w:rsidP="00001EA6">
            <w:pPr>
              <w:numPr>
                <w:ilvl w:val="0"/>
                <w:numId w:val="3"/>
              </w:numPr>
              <w:spacing w:after="0"/>
              <w:ind w:left="355" w:hanging="283"/>
            </w:pPr>
            <w:r w:rsidRPr="00D55B3B">
              <w:t>podaje przykłady zasad i wodorotlenków na podstawie analizy tabeli rozpuszczalności wodorotlenków</w:t>
            </w:r>
          </w:p>
          <w:p w:rsidR="00001EA6" w:rsidRPr="00D55B3B" w:rsidRDefault="00001EA6" w:rsidP="00001EA6">
            <w:pPr>
              <w:numPr>
                <w:ilvl w:val="0"/>
                <w:numId w:val="3"/>
              </w:numPr>
              <w:spacing w:after="0"/>
              <w:ind w:left="355" w:hanging="283"/>
            </w:pPr>
            <w:r w:rsidRPr="00D55B3B">
              <w:t xml:space="preserve">planuje i wykonuje doświadczenia otrzymywania wodorotlenków </w:t>
            </w:r>
            <w:r>
              <w:t>trudno</w:t>
            </w:r>
            <w:r>
              <w:t xml:space="preserve"> </w:t>
            </w:r>
            <w:r w:rsidRPr="00D55B3B">
              <w:t>rozpuszczalnych w wodzie</w:t>
            </w:r>
          </w:p>
          <w:p w:rsidR="00001EA6" w:rsidRPr="00D55B3B" w:rsidRDefault="00001EA6" w:rsidP="00001EA6">
            <w:pPr>
              <w:numPr>
                <w:ilvl w:val="0"/>
                <w:numId w:val="3"/>
              </w:numPr>
              <w:spacing w:after="0"/>
              <w:ind w:left="355" w:hanging="283"/>
            </w:pPr>
            <w:r w:rsidRPr="00D55B3B">
              <w:t>zapisuje równania reakcji otrzymywania wodorotlenków</w:t>
            </w:r>
          </w:p>
        </w:tc>
      </w:tr>
      <w:tr w:rsidR="00001EA6" w:rsidRPr="00D55B3B" w:rsidTr="00001EA6">
        <w:trPr>
          <w:trHeight w:val="982"/>
        </w:trPr>
        <w:tc>
          <w:tcPr>
            <w:tcW w:w="276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01EA6" w:rsidRPr="0015541F" w:rsidRDefault="00001EA6" w:rsidP="002A7719">
            <w:r w:rsidRPr="0015541F">
              <w:lastRenderedPageBreak/>
              <w:t>Proces dysocjacji jonowej zasad</w:t>
            </w:r>
          </w:p>
        </w:tc>
        <w:tc>
          <w:tcPr>
            <w:tcW w:w="680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01EA6" w:rsidRPr="00D55B3B" w:rsidRDefault="00001EA6" w:rsidP="00001EA6">
            <w:pPr>
              <w:numPr>
                <w:ilvl w:val="0"/>
                <w:numId w:val="4"/>
              </w:numPr>
              <w:spacing w:after="0"/>
              <w:ind w:left="355"/>
            </w:pPr>
            <w:r w:rsidRPr="00D55B3B">
              <w:t>wyjaśnia, na czym polega dysocjacja jonowa (elektrolityczna)</w:t>
            </w:r>
          </w:p>
          <w:p w:rsidR="00001EA6" w:rsidRPr="00D55B3B" w:rsidRDefault="00001EA6" w:rsidP="00001EA6">
            <w:pPr>
              <w:numPr>
                <w:ilvl w:val="0"/>
                <w:numId w:val="4"/>
              </w:numPr>
              <w:spacing w:after="0"/>
              <w:ind w:left="355"/>
            </w:pPr>
            <w:r w:rsidRPr="00D55B3B">
              <w:t>wyjaśnia, na czym polega dysocjacja jonowa (elektrolityczna) zasad</w:t>
            </w:r>
          </w:p>
          <w:p w:rsidR="00001EA6" w:rsidRPr="00D55B3B" w:rsidRDefault="00001EA6" w:rsidP="00001EA6">
            <w:pPr>
              <w:numPr>
                <w:ilvl w:val="0"/>
                <w:numId w:val="4"/>
              </w:numPr>
              <w:spacing w:after="0"/>
              <w:ind w:left="355"/>
            </w:pPr>
            <w:r w:rsidRPr="00D55B3B">
              <w:t>zapisuje równania reakcji dysocjacji jonowej zasad</w:t>
            </w:r>
          </w:p>
          <w:p w:rsidR="00001EA6" w:rsidRPr="00D55B3B" w:rsidRDefault="00001EA6" w:rsidP="00001EA6">
            <w:pPr>
              <w:numPr>
                <w:ilvl w:val="0"/>
                <w:numId w:val="4"/>
              </w:numPr>
              <w:spacing w:after="0"/>
              <w:ind w:left="356"/>
            </w:pPr>
            <w:r w:rsidRPr="00D55B3B">
              <w:t>wyjaśnia, dlaczego wszystkie zasady barwią dany wskaźnik na taki sam kolor</w:t>
            </w:r>
          </w:p>
          <w:p w:rsidR="00001EA6" w:rsidRPr="00D55B3B" w:rsidRDefault="00001EA6" w:rsidP="00001EA6">
            <w:pPr>
              <w:numPr>
                <w:ilvl w:val="0"/>
                <w:numId w:val="4"/>
              </w:numPr>
              <w:spacing w:after="0"/>
              <w:ind w:left="356"/>
            </w:pPr>
            <w:r w:rsidRPr="00D55B3B">
              <w:t>wyróżnia zasady spośród roztworów innych substancji za pomocą wskaźników</w:t>
            </w:r>
          </w:p>
          <w:p w:rsidR="00001EA6" w:rsidRPr="00D55B3B" w:rsidRDefault="00001EA6" w:rsidP="00001EA6">
            <w:pPr>
              <w:numPr>
                <w:ilvl w:val="0"/>
                <w:numId w:val="4"/>
              </w:numPr>
              <w:spacing w:after="0"/>
              <w:ind w:left="355"/>
            </w:pPr>
            <w:r w:rsidRPr="00D55B3B">
              <w:rPr>
                <w:iCs/>
              </w:rPr>
              <w:t>wyjaśnia, dlaczego roztwory wodne zasad przewodzą prąd elektryczny</w:t>
            </w:r>
          </w:p>
        </w:tc>
      </w:tr>
    </w:tbl>
    <w:p w:rsidR="00001EA6" w:rsidRDefault="00001EA6"/>
    <w:sectPr w:rsidR="00001EA6" w:rsidSect="00001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470"/>
    <w:multiLevelType w:val="hybridMultilevel"/>
    <w:tmpl w:val="A6FEEAA0"/>
    <w:lvl w:ilvl="0" w:tplc="7B72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26092"/>
    <w:multiLevelType w:val="hybridMultilevel"/>
    <w:tmpl w:val="A22A982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56CFD"/>
    <w:multiLevelType w:val="hybridMultilevel"/>
    <w:tmpl w:val="8A2E84EA"/>
    <w:lvl w:ilvl="0" w:tplc="AAFC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353F7"/>
    <w:multiLevelType w:val="hybridMultilevel"/>
    <w:tmpl w:val="F82A2720"/>
    <w:lvl w:ilvl="0" w:tplc="3DEAC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558B3"/>
    <w:multiLevelType w:val="hybridMultilevel"/>
    <w:tmpl w:val="9A64826E"/>
    <w:lvl w:ilvl="0" w:tplc="46687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A5A80"/>
    <w:multiLevelType w:val="hybridMultilevel"/>
    <w:tmpl w:val="F782BE8C"/>
    <w:lvl w:ilvl="0" w:tplc="74240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813EC"/>
    <w:multiLevelType w:val="hybridMultilevel"/>
    <w:tmpl w:val="809EB23C"/>
    <w:lvl w:ilvl="0" w:tplc="A484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01EA6"/>
    <w:rsid w:val="0000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2020-04-30T07:30:00Z</dcterms:created>
  <dcterms:modified xsi:type="dcterms:W3CDTF">2020-04-30T07:36:00Z</dcterms:modified>
</cp:coreProperties>
</file>